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cf7aacec441f8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19175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MJEŠOVITA INDUSTRIJSKO-OBRTNIČKA ŠKOLA 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802.095,47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876.165,63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823.098,55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1.032.290,24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125,4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21.003,08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156.124,61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743,3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52,02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2.369,17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13.432,34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567,0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2.317,15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13.432,34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579,7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23.320,23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169.556,95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727,1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manjak prihoda i primitaka je najvećim dijelom realiziran zbog toga što je iskazano 7 rashoda za plaću zaposlenika, a samo 6 prihoda, a uređenje praktikuma se financira iz prenesenog viška od prošle godine.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Zdravstvene i veterinarske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369,70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4.555,01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1232,1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Došlo je do značajnog povećanja, zbog toga što je prošle godine realiziran obvezni sistematski pregled za starije od 50 godina u drugoj polovici godine, a u 2025. godini je realiziran obvezni sistematski pregled za mlađe od 50 godina u prvoj polovici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troškova osobama izvan radnog odnosa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14.132,73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38.302,86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271,0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isto razdoblje prošle godine je došlo do značajnog povećanja zbog toga što su u prvoj polovici ove godine realizirane dvije mobilnosti grupe učenika i job shadowing za tri nastavnika u sklopu Erasmus+ projekta. Prošle godine u istom razdoblju je realizirana jedna mobilnost grupe učenika.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Zatezne kamate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404,64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istom razdoblju prošle godine Škola je isplaćivala prema sudskim presudama razlike plaće, a svi sporovi su riješeni i isplaćeni u 2024. godini te zbog toga u ovoj godini nema zateznih kamata.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21.003,08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156.124,61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743,3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Značajno je veći manjak prihoda poslovanja zbog promjene metodologije u 2025.. Naime, u 2025. godini je zabilježeno 7 rashoda za zaposlene za plaće od 12. mjeseca 2024. do 6. mjeseca 2025., a samo šest prihoda za plaće zaposlenih.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Višak prihoda poslovanja - preneseni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44.421,88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59.053,77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Iznos prenesenog viška se razlikuje od viška utvrđenog godišnjim financijskim izvještajima za 2024. godinu zbog preknjiženja temeljem Odluke o raspodjeli i korištenju poslovnog rezultata za 2024. godinu.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124.498,19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obračunatim prihodima poslovanja je došlo do značajnog povećanja također zbog promjene evidentiranja. Prošle godine su bili evidentirani samo obračunati prihodi za vlastite prihoda, a u 2025. godini obračunati prihodi za vlastite prihode i obračunati prihodi za obračunatu plaću za lipanj 2025.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i pruženih usluga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1.595,00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218,5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odnosu na prošlu godinu, u 2025. godini ima više izdanih računa prema ugovorima o najmu prostora za lipanj 2025.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Stambeni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52,02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 u otkupu koji je bio  u vlasništvu Škole je u potpunosti otplaćen u 2024. godini te zbog toga nema evidentiranih prihoda od prodaje građevinskih objekata u 2025. godini.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Dodatna ulaganja na građevinskim objektima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11.498,94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Prošle godine nije bilo značajnijih ulaganja u imovinu, a u 2025. je pokrenuto uređenje praktikuma u do sada neuređenim prostorima Škole kako bi zadovoljili uvjete i zahtjeve nove organizacije nastave kroz provedbu modularne nastave.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9221x, 9222x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Višak prihoda - preneseni (šifre 92211+92212-92221-92222)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9221x,9222x VP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124.728,75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134.186,33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107,6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Iznos prenesenog viška se razlikuje od viška utvrđenog godišnjim financijskim izvještajima za 2024. godinu zbog preknjiženja temeljem Odluke o raspodjeli i korištenju poslovnog rezultata za 2024. godinu.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96, 97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i od prodaje nefinancijske imovine - nenaplaćeni (šifre 96+97)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754,75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124.498,19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2025. je zabilježen značajno veći iznos jer se od 1.1.2025. godine iskazuje plaća za 6-2025 122.903,19 EUR, uz navedeno iskazani su i obračunati prihodi za pružene usluge u iznosu 1595,00 EUR.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budućih razdoblja i nedospjela naplata prihoda (aktivna vremenska razgraničenja)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124.016,18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2024. je na kontu 193 evidentirana obračunata plaća za lipanj 2024., a u 2025. godini je došlo do promjene metodologije. Konto 193 se više ne koristi, a obračunata plaća za lipanj se evidentira na kontima rashoda i obveza, te se iskazuje potraživanje za plaću za lipanj 2025. 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dan 30.6.2025. godine nema dospjelih obveza.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Međusobne obveze subjekata općeg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57.625,79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sumi od 57625,79 EUR sadržano je 80,99 EUR otvorene obveze za komunalne usluge prema gradu Karlovcu, 236,42 EUR otvorenih obveza za refundacije bolovanja na teret HZZO-a, 33,18 EUR obveze prema Javnoj vatrogasnoj postrojbi Karlovac za usluge vatrodojave, te 57.275,20  EUR se odnosi na obveze po primljenom predujmu od Agencije za mobilnost i programe EU za provedbu projekta Erasmus+.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6d960ca314b01" /></Relationships>
</file>